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Финансовые услуги</w:t>
            </w:r>
          </w:p>
          <w:p>
            <w:pPr>
              <w:jc w:val="center"/>
              <w:spacing w:after="0" w:line="240" w:lineRule="auto"/>
              <w:rPr>
                <w:sz w:val="32"/>
                <w:szCs w:val="32"/>
              </w:rPr>
            </w:pPr>
            <w:r>
              <w:rPr>
                <w:rFonts w:ascii="Times New Roman" w:hAnsi="Times New Roman" w:cs="Times New Roman"/>
                <w:color w:val="#000000"/>
                <w:sz w:val="32"/>
                <w:szCs w:val="32"/>
              </w:rPr>
              <w:t> К.М.02.06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«Финансовые услуги»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К.М.02.06 «Финансовые услуги».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«Финансовые услуги»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консультирования клиентов по использованию финансовых продуктов и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методы сбора, обработки и анализа информации с применением современных средств связи, аппаратно-технических средств и компьютерных технологий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порядок составления и правила оформления финансовой документации в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стандарты финансового учета и отчетности, инвестиционные продукты, технологии кредитования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оформлять документацию по финансовым сделкам в соответствии с действующими требованиями поставщиков финансовых услуг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использовать в работе стандарты финансового учета и отчетности, подбирать инвестиционные продукты, технологии кредитования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составления регулярной аналитической отчетности для клиентов и вышестоящего руководства и анализа предоставляемой клиентами документации, предусмотренной условиями договора с финансовой организацией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К.М.02.06 «Финансовые услуги»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Банковские, страховые и инвестиционные продукты и услуги</w:t>
            </w:r>
          </w:p>
          <w:p>
            <w:pPr>
              <w:jc w:val="center"/>
              <w:spacing w:after="0" w:line="240" w:lineRule="auto"/>
              <w:rPr>
                <w:sz w:val="22"/>
                <w:szCs w:val="22"/>
              </w:rPr>
            </w:pPr>
            <w:r>
              <w:rPr>
                <w:rFonts w:ascii="Times New Roman" w:hAnsi="Times New Roman" w:cs="Times New Roman"/>
                <w:color w:val="#000000"/>
                <w:sz w:val="22"/>
                <w:szCs w:val="22"/>
              </w:rPr>
              <w:t> Деньги, кредит, банки</w:t>
            </w:r>
          </w:p>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Экономические и юридические аспекты оказания финансовых и консультационных услуг</w:t>
            </w:r>
          </w:p>
          <w:p>
            <w:pPr>
              <w:jc w:val="center"/>
              <w:spacing w:after="0" w:line="240" w:lineRule="auto"/>
              <w:rPr>
                <w:sz w:val="22"/>
                <w:szCs w:val="22"/>
              </w:rPr>
            </w:pPr>
            <w:r>
              <w:rPr>
                <w:rFonts w:ascii="Times New Roman" w:hAnsi="Times New Roman" w:cs="Times New Roman"/>
                <w:color w:val="#000000"/>
                <w:sz w:val="22"/>
                <w:szCs w:val="22"/>
              </w:rPr>
              <w:t> Инвестиционная банковская деятельность</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Рынок инвестиционных продуктов</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p>
            <w:pPr>
              <w:jc w:val="center"/>
              <w:spacing w:after="0" w:line="240" w:lineRule="auto"/>
              <w:rPr>
                <w:sz w:val="22"/>
                <w:szCs w:val="22"/>
              </w:rPr>
            </w:pPr>
            <w:r>
              <w:rPr>
                <w:rFonts w:ascii="Times New Roman" w:hAnsi="Times New Roman" w:cs="Times New Roman"/>
                <w:color w:val="#000000"/>
                <w:sz w:val="22"/>
                <w:szCs w:val="22"/>
              </w:rPr>
              <w:t> Анализ и прогнозирования финансового сектора экономики</w:t>
            </w:r>
          </w:p>
          <w:p>
            <w:pPr>
              <w:jc w:val="center"/>
              <w:spacing w:after="0" w:line="240" w:lineRule="auto"/>
              <w:rPr>
                <w:sz w:val="22"/>
                <w:szCs w:val="22"/>
              </w:rPr>
            </w:pPr>
            <w:r>
              <w:rPr>
                <w:rFonts w:ascii="Times New Roman" w:hAnsi="Times New Roman" w:cs="Times New Roman"/>
                <w:color w:val="#000000"/>
                <w:sz w:val="22"/>
                <w:szCs w:val="22"/>
              </w:rPr>
              <w:t> Анализ и прогнозирование финансового сектора экономики</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Инвестиционный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1.Сущность экономической категории  -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2.Виды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3.Правовые основы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4.Национальные и глобальные финансовые рынки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5.Валютные операции коммерческих банков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6.Развитие российского рынка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05.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1.Сущность экономической категории  - финансы.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услуга - комплекс действий, осуществляемых финансовыми посредниками (центральным и коммерческим (сберегательным, инвестиционным, развития и т.п.) банком, страховой (лизинговой, финансовой, управляющей и т.п.) компанией, инвестиционным (пенсионным, хеджевым, частного капитала и т.п.) фондом и иными финансовыми институтами) по привлечению и размещению денежных ресурсов на финансовых рынках (валютном, депозитов, кредитном, ценных бумаг, репо, деривативов, структурированных финансовых продуктов, пенсионном, страховом и др.) на основе использования финансовых инструментов (депозитов, ссуд, финансового лизинга, ценных бумаг, депозитарных расписок на ценные бумаги, паев в инвестиционных пулах и фондах, страховых и пенсионных полисов, иностранной валюты как актива, деривативов, структурированных финансовых продуктов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2.Виды финансовых услуг</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 правило, во всех странах особым образом регулируются ряд финансовых услуг право совершения которых принадлежит только банкам. К этим услугами относятся:</w:t>
            </w:r>
          </w:p>
          <w:p>
            <w:pPr>
              <w:jc w:val="both"/>
              <w:spacing w:after="0" w:line="240" w:lineRule="auto"/>
              <w:rPr>
                <w:sz w:val="24"/>
                <w:szCs w:val="24"/>
              </w:rPr>
            </w:pPr>
            <w:r>
              <w:rPr>
                <w:rFonts w:ascii="Times New Roman" w:hAnsi="Times New Roman" w:cs="Times New Roman"/>
                <w:color w:val="#000000"/>
                <w:sz w:val="24"/>
                <w:szCs w:val="24"/>
              </w:rPr>
              <w:t> •	привлечение денежных средств во вклады;</w:t>
            </w:r>
          </w:p>
          <w:p>
            <w:pPr>
              <w:jc w:val="both"/>
              <w:spacing w:after="0" w:line="240" w:lineRule="auto"/>
              <w:rPr>
                <w:sz w:val="24"/>
                <w:szCs w:val="24"/>
              </w:rPr>
            </w:pPr>
            <w:r>
              <w:rPr>
                <w:rFonts w:ascii="Times New Roman" w:hAnsi="Times New Roman" w:cs="Times New Roman"/>
                <w:color w:val="#000000"/>
                <w:sz w:val="24"/>
                <w:szCs w:val="24"/>
              </w:rPr>
              <w:t> •	расчётно-кассовое обслуживание;</w:t>
            </w:r>
          </w:p>
          <w:p>
            <w:pPr>
              <w:jc w:val="both"/>
              <w:spacing w:after="0" w:line="240" w:lineRule="auto"/>
              <w:rPr>
                <w:sz w:val="24"/>
                <w:szCs w:val="24"/>
              </w:rPr>
            </w:pPr>
            <w:r>
              <w:rPr>
                <w:rFonts w:ascii="Times New Roman" w:hAnsi="Times New Roman" w:cs="Times New Roman"/>
                <w:color w:val="#000000"/>
                <w:sz w:val="24"/>
                <w:szCs w:val="24"/>
              </w:rPr>
              <w:t> •	инкассация денежных средств, векселей, платежных и расчетных документов</w:t>
            </w:r>
          </w:p>
          <w:p>
            <w:pPr>
              <w:jc w:val="both"/>
              <w:spacing w:after="0" w:line="240" w:lineRule="auto"/>
              <w:rPr>
                <w:sz w:val="24"/>
                <w:szCs w:val="24"/>
              </w:rPr>
            </w:pPr>
            <w:r>
              <w:rPr>
                <w:rFonts w:ascii="Times New Roman" w:hAnsi="Times New Roman" w:cs="Times New Roman"/>
                <w:color w:val="#000000"/>
                <w:sz w:val="24"/>
                <w:szCs w:val="24"/>
              </w:rPr>
              <w:t> •	купля-продажа иностранной валюты в наличной и безналичной формах;</w:t>
            </w:r>
          </w:p>
          <w:p>
            <w:pPr>
              <w:jc w:val="both"/>
              <w:spacing w:after="0" w:line="240" w:lineRule="auto"/>
              <w:rPr>
                <w:sz w:val="24"/>
                <w:szCs w:val="24"/>
              </w:rPr>
            </w:pPr>
            <w:r>
              <w:rPr>
                <w:rFonts w:ascii="Times New Roman" w:hAnsi="Times New Roman" w:cs="Times New Roman"/>
                <w:color w:val="#000000"/>
                <w:sz w:val="24"/>
                <w:szCs w:val="24"/>
              </w:rPr>
              <w:t> •	выдача банковских гарантий;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3.Правовые основы  финансовых услуг</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финансовой услуги дано в статье 4 Федерального закона от 26. 06.2006 г. № 135-ФЗ «О защите конкуренции». Согласно данному законоположению под финансовой услугой понимается банковская услуга, страховая услуга, услуга на рынке ценных бумаг, услуга по договору лизинга, а также услуга, оказываемая финансовой организацией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4.Национальные и глобальные финансовые рынки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настоящее время сложились следующие основные характеристики глобального финансового рынка:</w:t>
            </w:r>
          </w:p>
          <w:p>
            <w:pPr>
              <w:jc w:val="both"/>
              <w:spacing w:after="0" w:line="240" w:lineRule="auto"/>
              <w:rPr>
                <w:sz w:val="24"/>
                <w:szCs w:val="24"/>
              </w:rPr>
            </w:pPr>
            <w:r>
              <w:rPr>
                <w:rFonts w:ascii="Times New Roman" w:hAnsi="Times New Roman" w:cs="Times New Roman"/>
                <w:color w:val="#000000"/>
                <w:sz w:val="24"/>
                <w:szCs w:val="24"/>
              </w:rPr>
              <w:t> •	• универсальный характер рынка, на котором осуществляются международные валютные, кредитные, расчетно-финансовые, гарантийные, страховые операции, операции с ценными бумагами;</w:t>
            </w:r>
          </w:p>
          <w:p>
            <w:pPr>
              <w:jc w:val="both"/>
              <w:spacing w:after="0" w:line="240" w:lineRule="auto"/>
              <w:rPr>
                <w:sz w:val="24"/>
                <w:szCs w:val="24"/>
              </w:rPr>
            </w:pPr>
            <w:r>
              <w:rPr>
                <w:rFonts w:ascii="Times New Roman" w:hAnsi="Times New Roman" w:cs="Times New Roman"/>
                <w:color w:val="#000000"/>
                <w:sz w:val="24"/>
                <w:szCs w:val="24"/>
              </w:rPr>
              <w:t> •	• огромные масштабы финансовых ресурсов в обращении, учитывая совокупную емкость национальных и международного рынков капитала;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5.Валютные операции коммерческих банков</w:t>
            </w:r>
          </w:p>
        </w:tc>
      </w:tr>
      <w:tr>
        <w:trPr>
          <w:trHeight w:hRule="exact" w:val="491.4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Федеральный закон "О валютном регулировании и валютном контроле"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10.12.2003 N 173-ФЗ (последняя редакция) Целью настоящего Федерального закона является обеспечение реализации единой государственной валютной политики, а также устойчивости валюты Российской Федерации и стабильности внутреннего валютного рынка Российской Федерации как факторов прогрессивного развития национальной экономики и международного экономического сотрудничества.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6.Развитие российского рынка финансовых услуг</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эпоху глобальной  цифровизации и развития высоких технологий появляются все новые и более современные сервисы и продукты на рынке финансовых услуг. Автоматизация процессов, переход на удаленные каналы обслуживания и заимствование опыта развитых экономик способствуют тому, что финансовые институты в России внедряют свои новые сервисы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«Финансовые услуги»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инструменты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Новгородов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инструменты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978-5-7014-0820-1.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http://www.iprbookshop.ru/80542.html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услуги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всех?</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расширения</w:t>
            </w:r>
            <w:r>
              <w:rPr/>
              <w:t xml:space="preserve"> </w:t>
            </w:r>
            <w:r>
              <w:rPr>
                <w:rFonts w:ascii="Times New Roman" w:hAnsi="Times New Roman" w:cs="Times New Roman"/>
                <w:color w:val="#000000"/>
                <w:sz w:val="24"/>
                <w:szCs w:val="24"/>
              </w:rPr>
              <w:t>доступа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Демиргюч-Кунт</w:t>
            </w:r>
            <w:r>
              <w:rPr/>
              <w:t xml:space="preserve"> </w:t>
            </w:r>
            <w:r>
              <w:rPr>
                <w:rFonts w:ascii="Times New Roman" w:hAnsi="Times New Roman" w:cs="Times New Roman"/>
                <w:color w:val="#000000"/>
                <w:sz w:val="24"/>
                <w:szCs w:val="24"/>
              </w:rPr>
              <w:t>Ашли,</w:t>
            </w:r>
            <w:r>
              <w:rPr/>
              <w:t xml:space="preserve"> </w:t>
            </w:r>
            <w:r>
              <w:rPr>
                <w:rFonts w:ascii="Times New Roman" w:hAnsi="Times New Roman" w:cs="Times New Roman"/>
                <w:color w:val="#000000"/>
                <w:sz w:val="24"/>
                <w:szCs w:val="24"/>
              </w:rPr>
              <w:t>Бек</w:t>
            </w:r>
            <w:r>
              <w:rPr/>
              <w:t xml:space="preserve"> </w:t>
            </w:r>
            <w:r>
              <w:rPr>
                <w:rFonts w:ascii="Times New Roman" w:hAnsi="Times New Roman" w:cs="Times New Roman"/>
                <w:color w:val="#000000"/>
                <w:sz w:val="24"/>
                <w:szCs w:val="24"/>
              </w:rPr>
              <w:t>Торстен,</w:t>
            </w:r>
            <w:r>
              <w:rPr/>
              <w:t xml:space="preserve"> </w:t>
            </w:r>
            <w:r>
              <w:rPr>
                <w:rFonts w:ascii="Times New Roman" w:hAnsi="Times New Roman" w:cs="Times New Roman"/>
                <w:color w:val="#000000"/>
                <w:sz w:val="24"/>
                <w:szCs w:val="24"/>
              </w:rPr>
              <w:t>Хонован</w:t>
            </w:r>
            <w:r>
              <w:rPr/>
              <w:t xml:space="preserve"> </w:t>
            </w:r>
            <w:r>
              <w:rPr>
                <w:rFonts w:ascii="Times New Roman" w:hAnsi="Times New Roman" w:cs="Times New Roman"/>
                <w:color w:val="#000000"/>
                <w:sz w:val="24"/>
                <w:szCs w:val="24"/>
              </w:rPr>
              <w:t>Патрик,</w:t>
            </w:r>
            <w:r>
              <w:rPr/>
              <w:t xml:space="preserve"> </w:t>
            </w:r>
            <w:r>
              <w:rPr>
                <w:rFonts w:ascii="Times New Roman" w:hAnsi="Times New Roman" w:cs="Times New Roman"/>
                <w:color w:val="#000000"/>
                <w:sz w:val="24"/>
                <w:szCs w:val="24"/>
              </w:rPr>
              <w:t>Шафикова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услуги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всех?</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расширения</w:t>
            </w:r>
            <w:r>
              <w:rPr/>
              <w:t xml:space="preserve"> </w:t>
            </w:r>
            <w:r>
              <w:rPr>
                <w:rFonts w:ascii="Times New Roman" w:hAnsi="Times New Roman" w:cs="Times New Roman"/>
                <w:color w:val="#000000"/>
                <w:sz w:val="24"/>
                <w:szCs w:val="24"/>
              </w:rPr>
              <w:t>доступа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978-5-9614-1465-3.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http://www.iprbookshop.ru/82432.html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валютные</w:t>
            </w:r>
            <w:r>
              <w:rPr/>
              <w:t xml:space="preserve"> </w:t>
            </w:r>
            <w:r>
              <w:rPr>
                <w:rFonts w:ascii="Times New Roman" w:hAnsi="Times New Roman" w:cs="Times New Roman"/>
                <w:color w:val="#000000"/>
                <w:sz w:val="24"/>
                <w:szCs w:val="24"/>
              </w:rPr>
              <w:t>операции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Агибалов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Ткачева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Императора</w:t>
            </w:r>
            <w:r>
              <w:rPr/>
              <w:t xml:space="preserve"> </w:t>
            </w: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Первого,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http://www.iprbookshop.ru/72832.html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Бутурлин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Ситник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Ядрихинский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Боровкова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Балабанов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Боровкова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978-5-9916-2636-1.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https://urait.ru/bcode/387554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47.5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68.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524.7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2024-2025_ФГОС3++2024_Бак-ОФО-Э(ФКиА)(24)_plx_Финансовые услуги</dc:title>
  <dc:creator>FastReport.NET</dc:creator>
</cp:coreProperties>
</file>